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5.0 -->
  <w:body>
    <w:bookmarkStart w:id="0" w:name="page1"/>
    <w:bookmarkEnd w:id="0"/>
    <w:p>
      <w:pPr>
        <w:spacing w:after="0" w:line="22" w:lineRule="exact"/>
      </w:pPr>
    </w:p>
    <w:p>
      <w:pPr>
        <w:spacing w:after="0" w:line="240" w:lineRule="exact"/>
        <w:ind w:left="420"/>
        <w:rPr>
          <w:sz w:val="20"/>
          <w:szCs w:val="20"/>
        </w:rPr>
      </w:pPr>
      <w:r>
        <w:rPr>
          <w:rFonts w:ascii="仿宋" w:eastAsia="仿宋" w:hAnsi="仿宋" w:cs="仿宋"/>
          <w:sz w:val="21"/>
          <w:szCs w:val="21"/>
        </w:rPr>
        <w:t>附件一：采购需求</w:t>
      </w:r>
    </w:p>
    <w:p>
      <w:pPr>
        <w:spacing w:after="0" w:line="343" w:lineRule="exact"/>
      </w:pPr>
    </w:p>
    <w:tbl>
      <w:tblPr>
        <w:tblStyle w:val="TableNormal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860"/>
        <w:gridCol w:w="5180"/>
        <w:gridCol w:w="760"/>
        <w:gridCol w:w="720"/>
        <w:gridCol w:w="720"/>
        <w:gridCol w:w="360"/>
      </w:tblGrid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right="174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设  备</w:t>
            </w:r>
          </w:p>
        </w:tc>
        <w:tc>
          <w:tcPr>
            <w:tcW w:w="5180" w:type="dxa"/>
            <w:vMerge w:val="restart"/>
            <w:tcBorders>
              <w:top w:val="single" w:sz="8" w:space="0" w:color="auto"/>
            </w:tcBorders>
            <w:vAlign w:val="bottom"/>
          </w:tcPr>
          <w:p>
            <w:pPr>
              <w:spacing w:after="0" w:line="240" w:lineRule="exact"/>
              <w:ind w:left="20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规格及详细技术要求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单位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名称</w:t>
            </w:r>
          </w:p>
        </w:tc>
        <w:tc>
          <w:tcPr>
            <w:tcW w:w="5180" w:type="dxa"/>
            <w:vMerge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18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1、2U 标准机架式设备，含原厂导轨；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2、处理器规格：配置≥2 颗高性能处理器，主频≥2.0GHz，核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数≥28 核；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3、内存类型：不低于 DDR4 3200MHz；内存容量≥256GB，支持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≥16 个内存插槽，支持内存故障隔离功能；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1"/>
                <w:szCs w:val="21"/>
              </w:rPr>
              <w:t>4、硬盘规格：≥2 块 480GB SSD 硬盘，支持 2*M.2 SATA SSD，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支持免开箱热插拔；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虚  拟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5、网络要求：≥2 个千兆电口；≥2 个万兆光口(含多模)；≥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right="254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化  服</w:t>
            </w: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 个 16G FC 接口(含模块)；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台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务器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3"/>
                <w:sz w:val="21"/>
                <w:szCs w:val="21"/>
              </w:rPr>
              <w:t>6、可扩展要求：支持 1 个 OCP3.0 网卡，最大可扩展 14 个 PCIe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槽位；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7、电源要求：配置≥2*900W 电源；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 、支持主流操作系统如  Windows  Server 、 SUSE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Linux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1"/>
                <w:szCs w:val="21"/>
              </w:rPr>
              <w:t>Enterprise  Server、Red  Hat  Enterprise  Linux、CentOS、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Oracle  Linux、Ubuntu、Debian、openEuler、UOS、Huawei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FusionCompute、H3C CAS 等；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9、提供≥三年原厂售后服务，包含固件版本升级服务；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1、配置≥6 颗物理 CPU 的虚拟化软件授权；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2、★虚拟化支持双架构部署，可直接安装在基于 x86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架构或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ARM 架构的物理服务器上，可利旧现网 x86 设备，统一管理；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3、虚拟机可以实现物理机的全部功能，如具有自己的资源（内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存、CPU、网卡、存储），可以指定单独的 IP 地址、MAC 地址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等；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4、可提供虚拟机基本生命周期管理功能，支持删除、移动、克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隆、迁移、VNC 登录、快照、导出、重启、关闭、强制重启、强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制关闭等操作；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5、支持虚拟机 HA，允许配置集群内 HA 预留的主机数量，以保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虚  拟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证在虚拟机故障时有足够的资源进行切换，支持配置存储故障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right="254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化  软</w:t>
            </w: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后是 HA 虚拟机还是不处理；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套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件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6、★可通过模板创建虚拟机时，用户可指定虚拟机的 CPU、内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存规格以及主机名、账户密码、虚拟机 IP 等信息；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7、支持通过文件夹对虚拟机进行分组，不同类型的虚拟机实现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逻辑分组管理，方便运维，文件夹深度最多可以支持 5 层，并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可以对分组虚拟机批量进行关闭、启动、克隆等操作；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8、支持虚拟机启动阶段的负载均衡策略，虚拟机启动时根据集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群内主机的实时 CPU、内存负载情况动态选择运行的主机；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9、★支持虚拟交换机，通过对接受和发送的流量进行整形保证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网络质量，至少支持安全组、平均带宽、峰值带宽、突发大小、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180" w:type="dxa"/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优先级、DHCP 隔离、广播抑制、TCP 校验和的设置；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10、支持图形化界面安全删除虚拟机，虚拟机删除的同时将底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</w:tbl>
    <w:p>
      <w:pPr>
        <w:rPr>
          <w:sz w:val="22"/>
          <w:szCs w:val="22"/>
        </w:rPr>
        <w:sectPr>
          <w:pgSz w:w="11900" w:h="16838" w:orient="portrait"/>
          <w:pgMar w:top="1440" w:right="1406" w:bottom="1044" w:left="1420" w:header="0" w:footer="0" w:gutter="0"/>
          <w:cols w:num="1" w:space="708" w:equalWidth="0">
            <w:col w:w="9080"/>
          </w:cols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</w:rPr>
      </w:pPr>
    </w:p>
    <w:tbl>
      <w:tblPr>
        <w:tblStyle w:val="TableNormal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860"/>
        <w:gridCol w:w="5940"/>
        <w:gridCol w:w="720"/>
        <w:gridCol w:w="720"/>
        <w:gridCol w:w="360"/>
      </w:tblGrid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层存储空间进行置“0”操作，避免数据后期被恶意恢复；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11、★提供图形化的主机和虚拟机指标监控，用户可自定义监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控周期，监控指标需包括 CPU 占用率、内存占用率、磁盘占用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率、磁盘 I/O 写入写出、网络流速等，并支持导出监控数据；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12、提供≥三年原厂售后服务，在服务期内提供软件版本升级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服务；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1、SAN 和 NAS 一体化架构，控制器高度≤4U；控制器采用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Active-Active 架构，LUN 不归属于某一个控制器，业务负载均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衡到多个控制器；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2、★采用全闪架构，配置≥2 个控制器，控制器采用国产多核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2"/>
                <w:sz w:val="21"/>
                <w:szCs w:val="21"/>
              </w:rPr>
              <w:t>处理器，总核心数≥60 核，CPU 主频≥2.5GHz；缓存容量≥192GB；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3、主机接口：≥8*1Gb ETH, ≥8*10Gb ETH, ≥8*16Gb FC（含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光模块）；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4、配置≥12 块 3.84TB NVMe SSD 硬盘；在不低于 RAID6 冗余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级别的条件下，可用空间≥24TB；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5、本次配置要求：在业务类型为数据库、8K 块大小、读比例占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  闪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70%条件下，IOPS 不低于 295000，提供厂家出具的存储性能评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94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估数据截图；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数  据</w:t>
            </w:r>
          </w:p>
        </w:tc>
        <w:tc>
          <w:tcPr>
            <w:tcW w:w="594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right="254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94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1"/>
                <w:szCs w:val="21"/>
              </w:rPr>
              <w:t>6、★在同一个 RAID 组内任意三块成员盘同时故障，不影响 SAN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right="194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存  储</w:t>
            </w:r>
          </w:p>
        </w:tc>
        <w:tc>
          <w:tcPr>
            <w:tcW w:w="594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94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和 NAS 业务的连续性和数据一致性；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设备</w:t>
            </w:r>
          </w:p>
        </w:tc>
        <w:tc>
          <w:tcPr>
            <w:tcW w:w="594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94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7、配置快照功能，SAN 支持≤3 秒快照，NAS 支持≤15 秒快照；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94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1"/>
                <w:szCs w:val="21"/>
              </w:rPr>
              <w:t>8、★支持本地高可靠的双活功能，采用 SAN-NAS 一体化 A-A 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活架构，实现两套核心存储数据双活，任何一套设备宕机均不影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响上层业务系统运行；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9、★配置精简配置、CIFS、NFS、快照、克隆、对象、远程复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制、服务质量控制、异构虚拟化、双活、CDP 持续数据保护等功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能特性；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10、拥有自主知识产权,具有自主研发能力,保障后续产品的连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续性,提供存储软件著作权登记证书；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11、★提供≥三年原厂售后技术支持及服务承诺函，在服务期内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提供软件版本及补丁升级服务；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1、充分了解医院业务实际需求，为医院提供科学合理的虚拟化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及数据存储的集成设计，确保与现有网络、平台、系统的无缝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系  统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对接，协助完成业务系统向虚拟化平台的迁移，保证其高效、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集  成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稳定运行；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right="254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及  数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2、中标单位主导完成医院核心数据库的数据迁移，实现迁移过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right="194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项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据  迁</w:t>
            </w:r>
          </w:p>
        </w:tc>
        <w:tc>
          <w:tcPr>
            <w:tcW w:w="594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程的数据零丢失，业务零中断，同时确保迁移前后的数据一致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94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移  服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性、业务可用性；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务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3、要求对迁移后数据库进行性能优化和脆弱性风险评估，提供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安全加固措施，以确保满足医院核心库的高性能、高稳定、高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安全业务需求；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</w:tbl>
    <w:p>
      <w:pPr>
        <w:spacing w:after="0" w:line="1" w:lineRule="exact"/>
        <w:rPr>
          <w:sz w:val="20"/>
          <w:szCs w:val="20"/>
        </w:rPr>
      </w:pPr>
    </w:p>
    <w:sectPr>
      <w:pgSz w:w="11900" w:h="16838" w:orient="portrait"/>
      <w:pgMar w:top="1420" w:right="1406" w:bottom="1440" w:left="1420" w:header="0" w:footer="0" w:gutter="0"/>
      <w:cols w:num="1" w:space="708" w:equalWidth="0">
        <w:col w:w="9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